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both"/>
        <w:rPr>
          <w:rFonts w:hint="default" w:ascii="Times New Roman" w:hAnsi="Times New Roman" w:eastAsia="黑体" w:cs="Times New Roman"/>
          <w:color w:val="323232"/>
          <w:kern w:val="0"/>
          <w:sz w:val="32"/>
          <w:szCs w:val="32"/>
        </w:rPr>
      </w:pPr>
      <w:r>
        <w:rPr>
          <w:rFonts w:hint="default" w:ascii="Times New Roman" w:hAnsi="Times New Roman" w:eastAsia="黑体" w:cs="Times New Roman"/>
          <w:color w:val="323232"/>
          <w:kern w:val="0"/>
          <w:sz w:val="32"/>
          <w:szCs w:val="32"/>
          <w:lang w:eastAsia="zh-CN"/>
        </w:rPr>
        <w:t>附件</w:t>
      </w:r>
      <w:r>
        <w:rPr>
          <w:rFonts w:hint="default" w:ascii="Times New Roman" w:hAnsi="Times New Roman" w:eastAsia="黑体" w:cs="Times New Roman"/>
          <w:color w:val="323232"/>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center"/>
        <w:textAlignment w:val="auto"/>
        <w:outlineLvl w:val="9"/>
        <w:rPr>
          <w:rFonts w:ascii="方正小标宋简体" w:hAnsi="宋体" w:eastAsia="方正小标宋简体" w:cs="宋体"/>
          <w:bCs/>
          <w:color w:val="323232"/>
          <w:kern w:val="0"/>
          <w:sz w:val="44"/>
          <w:szCs w:val="44"/>
        </w:rPr>
      </w:pPr>
      <w:r>
        <w:rPr>
          <w:rFonts w:hint="eastAsia" w:ascii="方正小标宋简体" w:hAnsi="宋体" w:eastAsia="方正小标宋简体" w:cs="宋体"/>
          <w:bCs/>
          <w:color w:val="323232"/>
          <w:kern w:val="0"/>
          <w:sz w:val="44"/>
          <w:szCs w:val="44"/>
        </w:rPr>
        <w:t>泸州城投建材科技有限责任公司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0"/>
        <w:jc w:val="center"/>
        <w:textAlignment w:val="auto"/>
        <w:outlineLvl w:val="9"/>
        <w:rPr>
          <w:rFonts w:ascii="仿宋" w:hAnsi="仿宋" w:eastAsia="仿宋"/>
          <w:b/>
          <w:sz w:val="32"/>
          <w:szCs w:val="32"/>
        </w:rPr>
      </w:pPr>
      <w:r>
        <w:rPr>
          <w:rFonts w:hint="eastAsia" w:ascii="方正小标宋简体" w:hAnsi="宋体" w:eastAsia="方正小标宋简体" w:cs="宋体"/>
          <w:bCs/>
          <w:color w:val="323232"/>
          <w:kern w:val="0"/>
          <w:sz w:val="44"/>
          <w:szCs w:val="44"/>
        </w:rPr>
        <w:t>洒水车主要技术参数及需求</w:t>
      </w:r>
    </w:p>
    <w:p>
      <w:pPr>
        <w:ind w:firstLine="645"/>
        <w:jc w:val="left"/>
        <w:rPr>
          <w:rFonts w:hint="eastAsia" w:ascii="黑体" w:hAnsi="黑体" w:eastAsia="黑体" w:cs="黑体"/>
          <w:b w:val="0"/>
          <w:bCs/>
          <w:sz w:val="32"/>
          <w:szCs w:val="32"/>
        </w:rPr>
      </w:pPr>
      <w:r>
        <w:rPr>
          <w:rFonts w:hint="eastAsia" w:ascii="黑体" w:hAnsi="黑体" w:eastAsia="黑体" w:cs="黑体"/>
          <w:b w:val="0"/>
          <w:bCs/>
          <w:sz w:val="32"/>
          <w:szCs w:val="32"/>
        </w:rPr>
        <w:t>一、主要技术参数</w:t>
      </w:r>
    </w:p>
    <w:tbl>
      <w:tblPr>
        <w:tblStyle w:val="3"/>
        <w:tblW w:w="8480" w:type="dxa"/>
        <w:jc w:val="center"/>
        <w:tblInd w:w="36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44"/>
        <w:gridCol w:w="51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jc w:val="center"/>
        </w:trPr>
        <w:tc>
          <w:tcPr>
            <w:tcW w:w="3344" w:type="dxa"/>
            <w:tcBorders>
              <w:top w:val="single" w:color="auto" w:sz="12" w:space="0"/>
              <w:left w:val="single" w:color="auto" w:sz="12" w:space="0"/>
              <w:bottom w:val="single" w:color="auto" w:sz="6" w:space="0"/>
              <w:right w:val="single" w:color="auto" w:sz="6" w:space="0"/>
            </w:tcBorders>
            <w:shd w:val="clear" w:color="auto" w:fill="E0E0E0"/>
            <w:vAlign w:val="center"/>
          </w:tcPr>
          <w:p>
            <w:pPr>
              <w:spacing w:line="360" w:lineRule="auto"/>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项          目</w:t>
            </w:r>
          </w:p>
        </w:tc>
        <w:tc>
          <w:tcPr>
            <w:tcW w:w="5136" w:type="dxa"/>
            <w:tcBorders>
              <w:top w:val="single" w:color="auto" w:sz="12" w:space="0"/>
              <w:left w:val="single" w:color="auto" w:sz="6" w:space="0"/>
              <w:bottom w:val="single" w:color="auto" w:sz="6" w:space="0"/>
              <w:right w:val="single" w:color="auto" w:sz="12" w:space="0"/>
            </w:tcBorders>
            <w:shd w:val="clear" w:color="auto" w:fill="E0E0E0"/>
            <w:vAlign w:val="center"/>
          </w:tcPr>
          <w:p>
            <w:pPr>
              <w:spacing w:line="360" w:lineRule="auto"/>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参             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★底盘型号</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东风天锦DFL1160系列（国Ⅴ）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外型尺寸（长×宽×高）   </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≥8060 mm×2460 mm×2760mm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★发动机功率</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≥155KW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总质量</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≥15800 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vAlign w:val="center"/>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整备质量</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≥6180 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rPr>
                <w:rFonts w:ascii="宋体" w:hAnsi="宋体" w:eastAsia="宋体" w:cs="宋体"/>
                <w:color w:val="000000"/>
                <w:kern w:val="0"/>
                <w:sz w:val="28"/>
                <w:szCs w:val="28"/>
              </w:rPr>
            </w:pPr>
            <w:r>
              <w:rPr>
                <w:rFonts w:hint="eastAsia" w:ascii="宋体" w:hAnsi="宋体" w:eastAsia="宋体" w:cs="宋体"/>
                <w:color w:val="000000"/>
                <w:kern w:val="0"/>
                <w:sz w:val="28"/>
                <w:szCs w:val="28"/>
              </w:rPr>
              <w:t>额定载质量</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≥8800 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最高行驶速度</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≥90km/h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驾驶室准乘人数</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冲洗宽度              </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洒水宽度       </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后高炮喷射程</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＞32m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洒水泵扬程</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≥110m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罐体有效容积</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kern w:val="0"/>
                <w:sz w:val="28"/>
                <w:szCs w:val="28"/>
              </w:rPr>
            </w:pPr>
            <w:r>
              <w:rPr>
                <w:rFonts w:hint="eastAsia" w:ascii="仿宋" w:hAnsi="Calibri" w:eastAsia="仿宋" w:cs="Times New Roman"/>
                <w:sz w:val="28"/>
                <w:szCs w:val="28"/>
                <w:shd w:val="clear" w:color="auto" w:fill="FFFFFF"/>
              </w:rPr>
              <w:t>≥10</w:t>
            </w:r>
            <w:r>
              <w:rPr>
                <w:rStyle w:val="4"/>
                <w:rFonts w:hint="eastAsia" w:ascii="仿宋_GB2312" w:hAnsi="Calibri" w:eastAsia="仿宋_GB2312" w:cs="Times New Roman"/>
                <w:sz w:val="28"/>
                <w:szCs w:val="28"/>
                <w:shd w:val="clear" w:color="auto" w:fill="FFFFFF"/>
              </w:rPr>
              <w:t> </w:t>
            </w:r>
            <w:r>
              <w:rPr>
                <w:rFonts w:hint="eastAsia" w:ascii="仿宋_GB2312" w:hAnsi="Calibri" w:eastAsia="仿宋_GB2312" w:cs="Times New Roman"/>
                <w:sz w:val="28"/>
                <w:szCs w:val="28"/>
                <w:shd w:val="clear" w:color="auto" w:fill="FFFFFF"/>
              </w:rPr>
              <w:t>m</w:t>
            </w:r>
            <w:r>
              <w:rPr>
                <w:rFonts w:hint="eastAsia" w:ascii="宋体" w:hAnsi="宋体" w:eastAsia="宋体" w:cs="宋体"/>
                <w:sz w:val="28"/>
                <w:szCs w:val="28"/>
                <w:shd w:val="clear" w:color="auto" w:fill="FFFFFF"/>
              </w:rPr>
              <w:t>³(实际12</w:t>
            </w:r>
            <w:r>
              <w:rPr>
                <w:rStyle w:val="4"/>
                <w:rFonts w:hint="eastAsia" w:ascii="仿宋_GB2312" w:hAnsi="Calibri" w:eastAsia="仿宋_GB2312" w:cs="Times New Roman"/>
                <w:sz w:val="28"/>
                <w:szCs w:val="28"/>
                <w:shd w:val="clear" w:color="auto" w:fill="FFFFFF"/>
              </w:rPr>
              <w:t> </w:t>
            </w:r>
            <w:r>
              <w:rPr>
                <w:rFonts w:hint="eastAsia" w:ascii="仿宋_GB2312" w:hAnsi="Calibri" w:eastAsia="仿宋_GB2312" w:cs="Times New Roman"/>
                <w:sz w:val="28"/>
                <w:szCs w:val="28"/>
                <w:shd w:val="clear" w:color="auto" w:fill="FFFFFF"/>
              </w:rPr>
              <w:t>m</w:t>
            </w:r>
            <w:r>
              <w:rPr>
                <w:rFonts w:hint="eastAsia" w:ascii="宋体" w:hAnsi="宋体" w:eastAsia="宋体" w:cs="宋体"/>
                <w:sz w:val="28"/>
                <w:szCs w:val="28"/>
                <w:shd w:val="clear" w:color="auto" w:fill="FFFFFF"/>
              </w:rPr>
              <w:t>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344" w:type="dxa"/>
            <w:tcBorders>
              <w:top w:val="single" w:color="auto" w:sz="6" w:space="0"/>
              <w:left w:val="single" w:color="auto" w:sz="12" w:space="0"/>
              <w:bottom w:val="single" w:color="auto" w:sz="6" w:space="0"/>
              <w:right w:val="single" w:color="auto" w:sz="6"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驾驶室</w:t>
            </w:r>
          </w:p>
        </w:tc>
        <w:tc>
          <w:tcPr>
            <w:tcW w:w="5136" w:type="dxa"/>
            <w:tcBorders>
              <w:top w:val="single" w:color="auto" w:sz="6" w:space="0"/>
              <w:left w:val="single" w:color="auto" w:sz="6" w:space="0"/>
              <w:bottom w:val="single" w:color="auto" w:sz="6" w:space="0"/>
              <w:right w:val="single" w:color="auto" w:sz="12" w:space="0"/>
            </w:tcBorders>
          </w:tcPr>
          <w:p>
            <w:pPr>
              <w:spacing w:line="360" w:lineRule="auto"/>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配原厂冷暖空调</w:t>
            </w:r>
          </w:p>
        </w:tc>
      </w:tr>
    </w:tbl>
    <w:p>
      <w:pPr>
        <w:widowControl/>
        <w:shd w:val="clear" w:color="auto" w:fill="FFFFFF"/>
        <w:ind w:firstLine="640" w:firstLineChars="200"/>
        <w:rPr>
          <w:rFonts w:hint="eastAsia" w:ascii="黑体" w:hAnsi="黑体" w:eastAsia="黑体" w:cs="黑体"/>
          <w:b w:val="0"/>
          <w:bCs/>
          <w:color w:val="323232"/>
          <w:kern w:val="0"/>
          <w:sz w:val="32"/>
          <w:szCs w:val="32"/>
        </w:rPr>
      </w:pPr>
      <w:r>
        <w:rPr>
          <w:rFonts w:hint="eastAsia" w:ascii="黑体" w:hAnsi="黑体" w:eastAsia="黑体" w:cs="黑体"/>
          <w:b w:val="0"/>
          <w:bCs/>
          <w:color w:val="323232"/>
          <w:kern w:val="0"/>
          <w:sz w:val="32"/>
          <w:szCs w:val="32"/>
        </w:rPr>
        <w:t>二、要求</w:t>
      </w:r>
    </w:p>
    <w:p>
      <w:pPr>
        <w:spacing w:line="36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全车所有路面作业功能均可在驾驶室内进行操作。前部装冲头，能单独左冲、右冲、左右对冲。保险杠处装有两个鸭嘴喷头，用于日常洒水，起到增湿、降尘的作用。</w:t>
      </w:r>
    </w:p>
    <w:p>
      <w:pPr>
        <w:spacing w:line="36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质量保证期为自合同所列的货物供货验收合格签字之日起6个月计算；供货商应负责用户的使用培训免费提供有关培训资料（含电子文档）。</w:t>
      </w:r>
    </w:p>
    <w:p>
      <w:pPr>
        <w:spacing w:line="36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验收标准：货物验收要求按照国家、国际行业现行有关标准、规范及有关规定以及本次招标文件的要求验收，主要通过现场有关参数测试及实际运行情况，由验收组验收；供应商应提供详细的验收程序和所执行的验收标准。</w:t>
      </w:r>
    </w:p>
    <w:p>
      <w:pPr>
        <w:spacing w:line="360" w:lineRule="auto"/>
        <w:ind w:firstLine="640" w:firstLineChars="200"/>
        <w:rPr>
          <w:rFonts w:hint="default" w:ascii="Times New Roman" w:hAnsi="Times New Roman" w:eastAsia="方正仿宋简体" w:cs="Times New Roman"/>
          <w:sz w:val="32"/>
          <w:szCs w:val="32"/>
        </w:rPr>
      </w:pPr>
      <w:bookmarkStart w:id="0" w:name="_GoBack"/>
      <w:bookmarkEnd w:id="0"/>
      <w:r>
        <w:rPr>
          <w:rFonts w:hint="default" w:ascii="Times New Roman" w:hAnsi="Times New Roman" w:eastAsia="方正仿宋简体" w:cs="Times New Roman"/>
          <w:sz w:val="32"/>
          <w:szCs w:val="32"/>
          <w:lang w:eastAsia="zh-CN"/>
        </w:rPr>
        <w:t>（四）</w:t>
      </w:r>
      <w:r>
        <w:rPr>
          <w:rFonts w:hint="default" w:ascii="Times New Roman" w:hAnsi="Times New Roman" w:eastAsia="方正仿宋简体" w:cs="Times New Roman"/>
          <w:sz w:val="32"/>
          <w:szCs w:val="32"/>
        </w:rPr>
        <w:t>售后服务要求是由供货商在蓉设立的售后服务机构或授权的本地企业承担。售后服务响应时间12小时。</w:t>
      </w:r>
    </w:p>
    <w:p>
      <w:pPr>
        <w:spacing w:line="36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（五）</w:t>
      </w:r>
      <w:r>
        <w:rPr>
          <w:rFonts w:hint="default" w:ascii="Times New Roman" w:hAnsi="Times New Roman" w:eastAsia="方正仿宋简体" w:cs="Times New Roman"/>
          <w:sz w:val="32"/>
          <w:szCs w:val="32"/>
        </w:rPr>
        <w:t>中选人负责完成中标车辆上户上牌工作，供应商报价应包含车辆上户、上牌、增值税专票等费用。</w:t>
      </w:r>
    </w:p>
    <w:p>
      <w:pPr>
        <w:spacing w:line="36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（六）</w:t>
      </w:r>
      <w:r>
        <w:rPr>
          <w:rFonts w:hint="default" w:ascii="Times New Roman" w:hAnsi="Times New Roman" w:eastAsia="方正仿宋简体" w:cs="Times New Roman"/>
          <w:sz w:val="32"/>
          <w:szCs w:val="32"/>
        </w:rPr>
        <w:t>整车必须为上国家税务总局免车辆购置税目录，若正在申办免征公告的生产厂商暂时无法提供免税公告，中选后由中标人负责垫付车辆购置税，待免征公告下达后我公司退还中选人垫付的车辆购置税数。</w:t>
      </w:r>
    </w:p>
    <w:p>
      <w:pPr>
        <w:spacing w:line="360" w:lineRule="auto"/>
        <w:ind w:firstLine="640" w:firstLineChars="20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4C83"/>
    <w:rsid w:val="3CC2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apple-converted-space"/>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2018-03-02T09:14:00Z</dcterms:created>
  <dc:creator>天下安1415413076</dc:creator>
  <cp:lastModifiedBy>天下安1415413076</cp:lastModifiedBy>
  <dcterms:modified xsi:type="dcterms:W3CDTF">2018-03-02T09:15:08Z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